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786" w:tblpY="1032"/>
        <w:tblW w:w="9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7"/>
        <w:gridCol w:w="1389"/>
        <w:gridCol w:w="1615"/>
        <w:gridCol w:w="891"/>
        <w:gridCol w:w="1246"/>
        <w:gridCol w:w="1061"/>
        <w:gridCol w:w="1124"/>
        <w:gridCol w:w="1124"/>
      </w:tblGrid>
      <w:tr w:rsidR="000E71C2" w:rsidRPr="00666F78">
        <w:trPr>
          <w:trHeight w:val="699"/>
        </w:trPr>
        <w:tc>
          <w:tcPr>
            <w:tcW w:w="787" w:type="dxa"/>
          </w:tcPr>
          <w:p w:rsidR="009E0383" w:rsidRPr="00666F78" w:rsidRDefault="009E0383" w:rsidP="009E0383"/>
        </w:tc>
        <w:tc>
          <w:tcPr>
            <w:tcW w:w="1389" w:type="dxa"/>
          </w:tcPr>
          <w:p w:rsidR="009E0383" w:rsidRPr="00AF1670" w:rsidRDefault="009E0383" w:rsidP="009E0383">
            <w:pPr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Pasākums</w:t>
            </w:r>
          </w:p>
        </w:tc>
        <w:tc>
          <w:tcPr>
            <w:tcW w:w="1615" w:type="dxa"/>
          </w:tcPr>
          <w:p w:rsidR="009E0383" w:rsidRPr="00AF1670" w:rsidRDefault="009E0383" w:rsidP="009E0383">
            <w:pPr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Raksturojums</w:t>
            </w:r>
          </w:p>
        </w:tc>
        <w:tc>
          <w:tcPr>
            <w:tcW w:w="891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Mērv.</w:t>
            </w:r>
          </w:p>
        </w:tc>
        <w:tc>
          <w:tcPr>
            <w:tcW w:w="1246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Daudzums</w:t>
            </w:r>
          </w:p>
        </w:tc>
        <w:tc>
          <w:tcPr>
            <w:tcW w:w="1061" w:type="dxa"/>
          </w:tcPr>
          <w:p w:rsidR="009E0383" w:rsidRPr="00FA2C6F" w:rsidRDefault="009E0383" w:rsidP="009E0383">
            <w:pPr>
              <w:rPr>
                <w:b/>
                <w:sz w:val="20"/>
                <w:szCs w:val="20"/>
              </w:rPr>
            </w:pPr>
            <w:r w:rsidRPr="00FA2C6F">
              <w:rPr>
                <w:b/>
                <w:sz w:val="20"/>
                <w:szCs w:val="20"/>
              </w:rPr>
              <w:t>Vienības</w:t>
            </w:r>
          </w:p>
          <w:p w:rsidR="009E0383" w:rsidRPr="00FA2C6F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FA2C6F">
              <w:rPr>
                <w:b/>
                <w:sz w:val="20"/>
                <w:szCs w:val="20"/>
              </w:rPr>
              <w:t>cena LVL</w:t>
            </w:r>
          </w:p>
        </w:tc>
        <w:tc>
          <w:tcPr>
            <w:tcW w:w="1124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Izmaksas</w:t>
            </w:r>
          </w:p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LVL</w:t>
            </w:r>
          </w:p>
        </w:tc>
        <w:tc>
          <w:tcPr>
            <w:tcW w:w="1124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Izmaksas gads</w:t>
            </w:r>
          </w:p>
        </w:tc>
      </w:tr>
      <w:tr w:rsidR="00080368">
        <w:trPr>
          <w:trHeight w:val="2011"/>
        </w:trPr>
        <w:tc>
          <w:tcPr>
            <w:tcW w:w="787" w:type="dxa"/>
            <w:vMerge w:val="restart"/>
          </w:tcPr>
          <w:p w:rsidR="00080368" w:rsidRDefault="00276A5D" w:rsidP="009E03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0803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89" w:type="dxa"/>
            <w:vMerge w:val="restart"/>
          </w:tcPr>
          <w:p w:rsidR="00080368" w:rsidRDefault="00276A5D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Attīrīšanas iekārtu rekonstrukcija</w:t>
            </w:r>
          </w:p>
        </w:tc>
        <w:tc>
          <w:tcPr>
            <w:tcW w:w="1615" w:type="dxa"/>
          </w:tcPr>
          <w:p w:rsidR="00080368" w:rsidRDefault="00276A5D" w:rsidP="000803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</w:t>
            </w:r>
            <w:r w:rsidR="0082644F">
              <w:rPr>
                <w:b/>
                <w:sz w:val="20"/>
                <w:szCs w:val="20"/>
              </w:rPr>
              <w:t>sošo NAI rekonstrukcija BIO 2x12</w:t>
            </w:r>
            <w:r>
              <w:rPr>
                <w:b/>
                <w:sz w:val="20"/>
                <w:szCs w:val="20"/>
              </w:rPr>
              <w:t>0</w:t>
            </w:r>
          </w:p>
          <w:p w:rsidR="00080368" w:rsidRDefault="00080368" w:rsidP="00080368">
            <w:pPr>
              <w:rPr>
                <w:b/>
                <w:sz w:val="20"/>
                <w:szCs w:val="20"/>
              </w:rPr>
            </w:pPr>
          </w:p>
          <w:p w:rsidR="00080368" w:rsidRDefault="00276A5D" w:rsidP="0027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Tehnoloģija</w:t>
            </w:r>
          </w:p>
          <w:p w:rsidR="00276A5D" w:rsidRDefault="00276A5D" w:rsidP="00276A5D">
            <w:pPr>
              <w:rPr>
                <w:sz w:val="20"/>
                <w:szCs w:val="20"/>
              </w:rPr>
            </w:pPr>
          </w:p>
          <w:p w:rsidR="00276A5D" w:rsidRDefault="00276A5D" w:rsidP="00276A5D">
            <w:pPr>
              <w:rPr>
                <w:sz w:val="20"/>
                <w:szCs w:val="20"/>
              </w:rPr>
            </w:pPr>
            <w:r w:rsidRPr="00276A5D">
              <w:rPr>
                <w:sz w:val="20"/>
                <w:szCs w:val="20"/>
              </w:rPr>
              <w:t>Elektrovadības bloks un automātika (bez SCADA)</w:t>
            </w:r>
          </w:p>
          <w:p w:rsidR="00276A5D" w:rsidRDefault="00276A5D" w:rsidP="00276A5D">
            <w:pPr>
              <w:rPr>
                <w:sz w:val="20"/>
                <w:szCs w:val="20"/>
              </w:rPr>
            </w:pPr>
          </w:p>
          <w:p w:rsidR="00276A5D" w:rsidRDefault="00276A5D" w:rsidP="00276A5D">
            <w:pPr>
              <w:rPr>
                <w:sz w:val="20"/>
                <w:szCs w:val="20"/>
              </w:rPr>
            </w:pPr>
            <w:r w:rsidRPr="00276A5D">
              <w:rPr>
                <w:sz w:val="20"/>
                <w:szCs w:val="20"/>
              </w:rPr>
              <w:t>Kompresori (2 gab)</w:t>
            </w:r>
          </w:p>
          <w:p w:rsidR="00276A5D" w:rsidRDefault="00276A5D" w:rsidP="00276A5D">
            <w:pPr>
              <w:rPr>
                <w:sz w:val="20"/>
                <w:szCs w:val="20"/>
              </w:rPr>
            </w:pPr>
          </w:p>
          <w:p w:rsidR="00276A5D" w:rsidRDefault="00276A5D" w:rsidP="00276A5D">
            <w:pPr>
              <w:rPr>
                <w:sz w:val="20"/>
                <w:szCs w:val="20"/>
              </w:rPr>
            </w:pPr>
            <w:r w:rsidRPr="00276A5D">
              <w:rPr>
                <w:sz w:val="20"/>
                <w:szCs w:val="20"/>
              </w:rPr>
              <w:t>Transports</w:t>
            </w:r>
          </w:p>
          <w:p w:rsidR="00276A5D" w:rsidRDefault="00276A5D" w:rsidP="00276A5D">
            <w:pPr>
              <w:rPr>
                <w:sz w:val="20"/>
                <w:szCs w:val="20"/>
              </w:rPr>
            </w:pPr>
          </w:p>
          <w:p w:rsidR="00276A5D" w:rsidRDefault="00276A5D" w:rsidP="00276A5D">
            <w:pPr>
              <w:rPr>
                <w:sz w:val="20"/>
                <w:szCs w:val="20"/>
              </w:rPr>
            </w:pPr>
            <w:r w:rsidRPr="00276A5D">
              <w:rPr>
                <w:sz w:val="20"/>
                <w:szCs w:val="20"/>
              </w:rPr>
              <w:t>Dūņu uzpildīšana un regulēšana</w:t>
            </w:r>
          </w:p>
          <w:p w:rsidR="00276A5D" w:rsidRDefault="00276A5D" w:rsidP="00276A5D">
            <w:pPr>
              <w:rPr>
                <w:sz w:val="20"/>
                <w:szCs w:val="20"/>
              </w:rPr>
            </w:pPr>
          </w:p>
          <w:p w:rsidR="00276A5D" w:rsidRDefault="00276A5D" w:rsidP="00276A5D">
            <w:pPr>
              <w:rPr>
                <w:sz w:val="20"/>
                <w:szCs w:val="20"/>
              </w:rPr>
            </w:pPr>
            <w:r w:rsidRPr="00276A5D">
              <w:rPr>
                <w:sz w:val="20"/>
                <w:szCs w:val="20"/>
              </w:rPr>
              <w:t>Tehnoloģijas montāža</w:t>
            </w:r>
          </w:p>
          <w:p w:rsidR="00276A5D" w:rsidRDefault="00276A5D" w:rsidP="00276A5D">
            <w:pPr>
              <w:rPr>
                <w:sz w:val="20"/>
                <w:szCs w:val="20"/>
              </w:rPr>
            </w:pPr>
          </w:p>
          <w:p w:rsidR="00276A5D" w:rsidRDefault="00276A5D" w:rsidP="00276A5D">
            <w:pPr>
              <w:rPr>
                <w:sz w:val="20"/>
                <w:szCs w:val="20"/>
              </w:rPr>
            </w:pPr>
            <w:r w:rsidRPr="00276A5D">
              <w:rPr>
                <w:sz w:val="20"/>
                <w:szCs w:val="20"/>
              </w:rPr>
              <w:t>Personāla apmācība</w:t>
            </w:r>
          </w:p>
          <w:p w:rsidR="00276A5D" w:rsidRDefault="00276A5D" w:rsidP="00276A5D">
            <w:pPr>
              <w:rPr>
                <w:sz w:val="20"/>
                <w:szCs w:val="20"/>
              </w:rPr>
            </w:pPr>
          </w:p>
          <w:p w:rsidR="00276A5D" w:rsidRDefault="00276A5D" w:rsidP="00276A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Dz/betona konstrukcijas</w:t>
            </w:r>
          </w:p>
          <w:p w:rsidR="00276A5D" w:rsidRDefault="00276A5D" w:rsidP="00276A5D">
            <w:pPr>
              <w:rPr>
                <w:sz w:val="20"/>
                <w:szCs w:val="20"/>
              </w:rPr>
            </w:pPr>
          </w:p>
          <w:p w:rsidR="00276A5D" w:rsidRDefault="00276A5D" w:rsidP="00276A5D">
            <w:pPr>
              <w:rPr>
                <w:sz w:val="20"/>
                <w:szCs w:val="20"/>
              </w:rPr>
            </w:pPr>
            <w:r w:rsidRPr="00276A5D">
              <w:rPr>
                <w:sz w:val="20"/>
                <w:szCs w:val="20"/>
              </w:rPr>
              <w:t>Celtniecības darbi</w:t>
            </w:r>
          </w:p>
          <w:p w:rsidR="00276A5D" w:rsidRDefault="00276A5D" w:rsidP="00276A5D">
            <w:pPr>
              <w:rPr>
                <w:sz w:val="20"/>
                <w:szCs w:val="20"/>
              </w:rPr>
            </w:pPr>
          </w:p>
          <w:p w:rsidR="00276A5D" w:rsidRPr="00276A5D" w:rsidRDefault="00276A5D" w:rsidP="00276A5D">
            <w:pPr>
              <w:rPr>
                <w:sz w:val="20"/>
                <w:szCs w:val="20"/>
              </w:rPr>
            </w:pPr>
            <w:r w:rsidRPr="00276A5D">
              <w:rPr>
                <w:sz w:val="20"/>
                <w:szCs w:val="20"/>
              </w:rPr>
              <w:t>Pārējie celtniecības materiāli</w:t>
            </w:r>
          </w:p>
        </w:tc>
        <w:tc>
          <w:tcPr>
            <w:tcW w:w="891" w:type="dxa"/>
          </w:tcPr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55E31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gab.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055E31" w:rsidRDefault="00055E31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</w:tc>
        <w:tc>
          <w:tcPr>
            <w:tcW w:w="1246" w:type="dxa"/>
          </w:tcPr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080368" w:rsidRDefault="00080368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9E0383">
            <w:pPr>
              <w:jc w:val="center"/>
              <w:rPr>
                <w:sz w:val="20"/>
                <w:szCs w:val="20"/>
              </w:rPr>
            </w:pPr>
          </w:p>
          <w:p w:rsidR="00276A5D" w:rsidRPr="00276A5D" w:rsidRDefault="00276A5D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1" w:type="dxa"/>
          </w:tcPr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947232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276A5D">
              <w:rPr>
                <w:sz w:val="20"/>
                <w:szCs w:val="20"/>
              </w:rPr>
              <w:t xml:space="preserve"> 800</w:t>
            </w: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1 550</w:t>
            </w: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947232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76A5D">
              <w:rPr>
                <w:sz w:val="20"/>
                <w:szCs w:val="20"/>
              </w:rPr>
              <w:t> 300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276A5D">
            <w:pPr>
              <w:rPr>
                <w:sz w:val="20"/>
                <w:szCs w:val="20"/>
              </w:rPr>
            </w:pPr>
          </w:p>
          <w:p w:rsidR="00080368" w:rsidRDefault="0082644F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6A5D">
              <w:rPr>
                <w:sz w:val="20"/>
                <w:szCs w:val="20"/>
              </w:rPr>
              <w:t> 000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947232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276A5D">
              <w:rPr>
                <w:sz w:val="20"/>
                <w:szCs w:val="20"/>
              </w:rPr>
              <w:t> 176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82644F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76A5D">
              <w:rPr>
                <w:sz w:val="20"/>
                <w:szCs w:val="20"/>
              </w:rPr>
              <w:t> 253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41178B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6A5D">
              <w:rPr>
                <w:sz w:val="20"/>
                <w:szCs w:val="20"/>
              </w:rPr>
              <w:t xml:space="preserve"> 900</w:t>
            </w: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947232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276A5D">
              <w:rPr>
                <w:sz w:val="20"/>
                <w:szCs w:val="20"/>
              </w:rPr>
              <w:t xml:space="preserve"> 800</w:t>
            </w: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1 550</w:t>
            </w: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sz w:val="20"/>
                <w:szCs w:val="20"/>
              </w:rPr>
            </w:pPr>
          </w:p>
          <w:p w:rsidR="00080368" w:rsidRDefault="00080368" w:rsidP="00080368">
            <w:pPr>
              <w:jc w:val="center"/>
              <w:rPr>
                <w:b/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947232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76A5D">
              <w:rPr>
                <w:sz w:val="20"/>
                <w:szCs w:val="20"/>
              </w:rPr>
              <w:t> 300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82644F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6A5D">
              <w:rPr>
                <w:sz w:val="20"/>
                <w:szCs w:val="20"/>
              </w:rPr>
              <w:t> 000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947232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276A5D">
              <w:rPr>
                <w:sz w:val="20"/>
                <w:szCs w:val="20"/>
              </w:rPr>
              <w:t> 176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82644F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76A5D">
              <w:rPr>
                <w:sz w:val="20"/>
                <w:szCs w:val="20"/>
              </w:rPr>
              <w:t> 253</w:t>
            </w: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Default="00276A5D" w:rsidP="00080368">
            <w:pPr>
              <w:jc w:val="center"/>
              <w:rPr>
                <w:sz w:val="20"/>
                <w:szCs w:val="20"/>
              </w:rPr>
            </w:pPr>
          </w:p>
          <w:p w:rsidR="00276A5D" w:rsidRPr="00276A5D" w:rsidRDefault="0041178B" w:rsidP="00080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6A5D">
              <w:rPr>
                <w:sz w:val="20"/>
                <w:szCs w:val="20"/>
              </w:rPr>
              <w:t xml:space="preserve"> 900</w:t>
            </w:r>
          </w:p>
        </w:tc>
        <w:tc>
          <w:tcPr>
            <w:tcW w:w="1124" w:type="dxa"/>
            <w:vMerge w:val="restart"/>
          </w:tcPr>
          <w:p w:rsidR="00080368" w:rsidRDefault="00080368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Pr="00AF1670" w:rsidRDefault="00055E31" w:rsidP="00C05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82CD5">
              <w:rPr>
                <w:sz w:val="20"/>
                <w:szCs w:val="20"/>
              </w:rPr>
              <w:t>3</w:t>
            </w:r>
          </w:p>
        </w:tc>
      </w:tr>
      <w:tr w:rsidR="00080368" w:rsidTr="00080368">
        <w:trPr>
          <w:trHeight w:val="240"/>
        </w:trPr>
        <w:tc>
          <w:tcPr>
            <w:tcW w:w="787" w:type="dxa"/>
            <w:vMerge/>
          </w:tcPr>
          <w:p w:rsidR="00080368" w:rsidRDefault="00080368" w:rsidP="009E0383">
            <w:pPr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080368" w:rsidRDefault="00080368" w:rsidP="009E0383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:rsidR="00080368" w:rsidRDefault="00080368" w:rsidP="00080368">
            <w:pPr>
              <w:jc w:val="right"/>
              <w:rPr>
                <w:b/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Kopā:</w:t>
            </w:r>
          </w:p>
        </w:tc>
        <w:tc>
          <w:tcPr>
            <w:tcW w:w="891" w:type="dxa"/>
          </w:tcPr>
          <w:p w:rsidR="00080368" w:rsidRDefault="00080368" w:rsidP="009E0383">
            <w:pPr>
              <w:jc w:val="center"/>
              <w:rPr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kompl.</w:t>
            </w:r>
          </w:p>
        </w:tc>
        <w:tc>
          <w:tcPr>
            <w:tcW w:w="1246" w:type="dxa"/>
          </w:tcPr>
          <w:p w:rsidR="00080368" w:rsidRDefault="00080368" w:rsidP="009E0383">
            <w:pPr>
              <w:jc w:val="center"/>
              <w:rPr>
                <w:b/>
                <w:sz w:val="20"/>
                <w:szCs w:val="20"/>
              </w:rPr>
            </w:pPr>
            <w:r w:rsidRPr="000F4E4C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61" w:type="dxa"/>
          </w:tcPr>
          <w:p w:rsidR="00080368" w:rsidRDefault="00947232" w:rsidP="009E03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102</w:t>
            </w:r>
            <w:r w:rsidR="00276A5D">
              <w:rPr>
                <w:b/>
                <w:i/>
                <w:sz w:val="20"/>
                <w:szCs w:val="20"/>
              </w:rPr>
              <w:t xml:space="preserve"> 079</w:t>
            </w:r>
          </w:p>
        </w:tc>
        <w:tc>
          <w:tcPr>
            <w:tcW w:w="1124" w:type="dxa"/>
          </w:tcPr>
          <w:p w:rsidR="00080368" w:rsidRDefault="00947232" w:rsidP="009E03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102</w:t>
            </w:r>
            <w:r w:rsidR="00276A5D">
              <w:rPr>
                <w:b/>
                <w:i/>
                <w:sz w:val="20"/>
                <w:szCs w:val="20"/>
              </w:rPr>
              <w:t xml:space="preserve"> 079</w:t>
            </w:r>
          </w:p>
        </w:tc>
        <w:tc>
          <w:tcPr>
            <w:tcW w:w="1124" w:type="dxa"/>
            <w:vMerge/>
          </w:tcPr>
          <w:p w:rsidR="00080368" w:rsidRPr="00AF1670" w:rsidRDefault="00080368" w:rsidP="00C05672">
            <w:pPr>
              <w:jc w:val="center"/>
              <w:rPr>
                <w:sz w:val="20"/>
                <w:szCs w:val="20"/>
              </w:rPr>
            </w:pPr>
          </w:p>
        </w:tc>
      </w:tr>
      <w:tr w:rsidR="000E71C2" w:rsidTr="003947D4">
        <w:trPr>
          <w:trHeight w:val="417"/>
        </w:trPr>
        <w:tc>
          <w:tcPr>
            <w:tcW w:w="787" w:type="dxa"/>
            <w:vMerge w:val="restart"/>
          </w:tcPr>
          <w:p w:rsidR="000F4E4C" w:rsidRPr="00AF1670" w:rsidRDefault="00EE288D" w:rsidP="009E03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0803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89" w:type="dxa"/>
            <w:vMerge w:val="restart"/>
          </w:tcPr>
          <w:p w:rsidR="000F4E4C" w:rsidRDefault="00EE288D" w:rsidP="009E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Kanalizācijas plūsmas nodrošināšana</w:t>
            </w:r>
          </w:p>
        </w:tc>
        <w:tc>
          <w:tcPr>
            <w:tcW w:w="1615" w:type="dxa"/>
          </w:tcPr>
          <w:p w:rsidR="00080368" w:rsidRPr="002A66F2" w:rsidRDefault="00EE288D" w:rsidP="00080368">
            <w:pPr>
              <w:tabs>
                <w:tab w:val="left" w:pos="43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Esošo tīklu un KSS rekonstrukcija</w:t>
            </w:r>
          </w:p>
          <w:p w:rsidR="000E71C2" w:rsidRDefault="000E71C2" w:rsidP="009E0383">
            <w:pPr>
              <w:rPr>
                <w:sz w:val="20"/>
                <w:szCs w:val="20"/>
              </w:rPr>
            </w:pPr>
          </w:p>
          <w:p w:rsidR="00080368" w:rsidRDefault="005E1B52" w:rsidP="0008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Pašteces cauruļvadi DN250, DN200</w:t>
            </w:r>
          </w:p>
          <w:p w:rsidR="005E1B52" w:rsidRDefault="005E1B52" w:rsidP="00080368">
            <w:pPr>
              <w:rPr>
                <w:sz w:val="20"/>
                <w:szCs w:val="20"/>
              </w:rPr>
            </w:pPr>
          </w:p>
          <w:p w:rsidR="005E1B52" w:rsidRDefault="005E1B52" w:rsidP="0008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Spiedvadi DN110</w:t>
            </w:r>
          </w:p>
          <w:p w:rsidR="005E1B52" w:rsidRDefault="005E1B52" w:rsidP="00080368">
            <w:pPr>
              <w:rPr>
                <w:sz w:val="20"/>
                <w:szCs w:val="20"/>
              </w:rPr>
            </w:pPr>
          </w:p>
          <w:p w:rsidR="005E1B52" w:rsidRDefault="005E1B52" w:rsidP="005E1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741F91">
              <w:rPr>
                <w:sz w:val="20"/>
                <w:szCs w:val="20"/>
              </w:rPr>
              <w:t>eme</w:t>
            </w:r>
            <w:r>
              <w:rPr>
                <w:sz w:val="20"/>
                <w:szCs w:val="20"/>
              </w:rPr>
              <w:t>s darbi un transporta izdevumi, grunts, zālāja seguma atjaunošana</w:t>
            </w:r>
          </w:p>
          <w:p w:rsidR="005E1B52" w:rsidRDefault="005E1B52" w:rsidP="00080368">
            <w:pPr>
              <w:rPr>
                <w:sz w:val="20"/>
                <w:szCs w:val="20"/>
              </w:rPr>
            </w:pPr>
          </w:p>
          <w:p w:rsidR="00080368" w:rsidRPr="005E1B52" w:rsidRDefault="005E1B52" w:rsidP="00080368">
            <w:pPr>
              <w:rPr>
                <w:b/>
                <w:sz w:val="20"/>
                <w:szCs w:val="20"/>
              </w:rPr>
            </w:pPr>
            <w:r w:rsidRPr="005E1B52">
              <w:rPr>
                <w:b/>
                <w:sz w:val="20"/>
                <w:szCs w:val="20"/>
              </w:rPr>
              <w:t>KSS rekonstrukcija:</w:t>
            </w:r>
          </w:p>
          <w:p w:rsidR="005E1B52" w:rsidRDefault="005E1B52" w:rsidP="00080368">
            <w:pPr>
              <w:rPr>
                <w:sz w:val="20"/>
                <w:szCs w:val="20"/>
              </w:rPr>
            </w:pPr>
          </w:p>
          <w:p w:rsidR="005E1B52" w:rsidRDefault="005E1B52" w:rsidP="0008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Rūpnieciski ražota plastmasas aka Ø1500</w:t>
            </w:r>
          </w:p>
          <w:p w:rsidR="005E1B52" w:rsidRDefault="005E1B52" w:rsidP="00080368">
            <w:pPr>
              <w:rPr>
                <w:sz w:val="20"/>
                <w:szCs w:val="20"/>
              </w:rPr>
            </w:pPr>
          </w:p>
          <w:p w:rsidR="005E1B52" w:rsidRDefault="005E1B52" w:rsidP="0008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Notekūdeņu sūknis</w:t>
            </w:r>
            <w:r w:rsidR="004D3F4A">
              <w:rPr>
                <w:sz w:val="20"/>
                <w:szCs w:val="20"/>
              </w:rPr>
              <w:t xml:space="preserve"> (komplektā ar rezerves sūkni)</w:t>
            </w:r>
          </w:p>
          <w:p w:rsidR="004D3F4A" w:rsidRDefault="004D3F4A" w:rsidP="00080368">
            <w:pPr>
              <w:rPr>
                <w:sz w:val="20"/>
                <w:szCs w:val="20"/>
              </w:rPr>
            </w:pPr>
          </w:p>
          <w:p w:rsidR="004D3F4A" w:rsidRDefault="004D3F4A" w:rsidP="0008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Vadības automātika</w:t>
            </w:r>
          </w:p>
          <w:p w:rsidR="00080368" w:rsidRPr="003947D4" w:rsidRDefault="00080368" w:rsidP="00EE288D">
            <w:pPr>
              <w:rPr>
                <w:i/>
                <w:sz w:val="20"/>
                <w:szCs w:val="20"/>
              </w:rPr>
            </w:pPr>
          </w:p>
        </w:tc>
        <w:tc>
          <w:tcPr>
            <w:tcW w:w="891" w:type="dxa"/>
          </w:tcPr>
          <w:p w:rsidR="000F4E4C" w:rsidRDefault="000F4E4C" w:rsidP="009E0383">
            <w:pPr>
              <w:jc w:val="center"/>
              <w:rPr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sz w:val="20"/>
                <w:szCs w:val="20"/>
              </w:rPr>
            </w:pPr>
          </w:p>
          <w:p w:rsidR="003947D4" w:rsidRDefault="003947D4" w:rsidP="003947D4">
            <w:pPr>
              <w:jc w:val="center"/>
              <w:rPr>
                <w:sz w:val="20"/>
                <w:szCs w:val="20"/>
              </w:rPr>
            </w:pPr>
          </w:p>
          <w:p w:rsidR="003947D4" w:rsidRDefault="005E1B52" w:rsidP="00394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3947D4" w:rsidRDefault="003947D4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gab.</w:t>
            </w: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5E1B52" w:rsidRDefault="004D3F4A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kompl.</w:t>
            </w:r>
          </w:p>
          <w:p w:rsidR="005E1B52" w:rsidRDefault="005E1B52" w:rsidP="00EE288D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EE288D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EE288D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EE288D">
            <w:pPr>
              <w:jc w:val="center"/>
              <w:rPr>
                <w:sz w:val="20"/>
                <w:szCs w:val="20"/>
              </w:rPr>
            </w:pPr>
          </w:p>
          <w:p w:rsidR="004D3F4A" w:rsidRPr="003947D4" w:rsidRDefault="004D3F4A" w:rsidP="00EE2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</w:tc>
        <w:tc>
          <w:tcPr>
            <w:tcW w:w="1246" w:type="dxa"/>
          </w:tcPr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3947D4" w:rsidRDefault="003947D4" w:rsidP="009E0383">
            <w:pPr>
              <w:jc w:val="center"/>
              <w:rPr>
                <w:sz w:val="20"/>
                <w:szCs w:val="20"/>
              </w:rPr>
            </w:pPr>
          </w:p>
          <w:p w:rsidR="003947D4" w:rsidRDefault="005E1B5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1 904</w:t>
            </w:r>
          </w:p>
          <w:p w:rsidR="000E71C2" w:rsidRDefault="000E71C2" w:rsidP="009E0383">
            <w:pPr>
              <w:jc w:val="center"/>
              <w:rPr>
                <w:sz w:val="20"/>
                <w:szCs w:val="20"/>
              </w:rPr>
            </w:pPr>
          </w:p>
          <w:p w:rsidR="000E71C2" w:rsidRDefault="000E71C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</w:t>
            </w: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2 047</w:t>
            </w: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Pr="000F4E4C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1" w:type="dxa"/>
          </w:tcPr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3947D4">
            <w:pPr>
              <w:rPr>
                <w:b/>
                <w:sz w:val="20"/>
                <w:szCs w:val="20"/>
              </w:rPr>
            </w:pPr>
          </w:p>
          <w:p w:rsidR="00055E31" w:rsidRDefault="00055E31" w:rsidP="003947D4">
            <w:pPr>
              <w:jc w:val="center"/>
              <w:rPr>
                <w:sz w:val="20"/>
                <w:szCs w:val="20"/>
              </w:rPr>
            </w:pPr>
          </w:p>
          <w:p w:rsidR="00055E31" w:rsidRDefault="005E1B52" w:rsidP="00394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3947D4" w:rsidRDefault="003947D4" w:rsidP="003947D4">
            <w:pPr>
              <w:jc w:val="center"/>
              <w:rPr>
                <w:sz w:val="20"/>
                <w:szCs w:val="20"/>
              </w:rPr>
            </w:pPr>
          </w:p>
          <w:p w:rsidR="003947D4" w:rsidRDefault="003947D4" w:rsidP="003947D4">
            <w:pPr>
              <w:jc w:val="center"/>
              <w:rPr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E71C2" w:rsidRDefault="005E1B5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E1B52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</w:t>
            </w: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1178B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5 000</w:t>
            </w: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Pr="000F4E4C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  <w:tc>
          <w:tcPr>
            <w:tcW w:w="1124" w:type="dxa"/>
          </w:tcPr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0F4E4C" w:rsidRDefault="000F4E4C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3947D4" w:rsidRDefault="003947D4" w:rsidP="009E0383">
            <w:pPr>
              <w:jc w:val="center"/>
              <w:rPr>
                <w:sz w:val="20"/>
                <w:szCs w:val="20"/>
              </w:rPr>
            </w:pPr>
          </w:p>
          <w:p w:rsidR="003947D4" w:rsidRDefault="005E1B5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28 560</w:t>
            </w: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1 430</w:t>
            </w: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122 820</w:t>
            </w: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5E1B52" w:rsidP="009E0383">
            <w:pPr>
              <w:jc w:val="center"/>
              <w:rPr>
                <w:sz w:val="20"/>
                <w:szCs w:val="20"/>
              </w:rPr>
            </w:pPr>
          </w:p>
          <w:p w:rsidR="005E1B52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E1B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="005E1B52">
              <w:rPr>
                <w:sz w:val="20"/>
                <w:szCs w:val="20"/>
              </w:rPr>
              <w:t>00</w:t>
            </w: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1178B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5 000</w:t>
            </w: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Pr="005E1B52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  <w:tc>
          <w:tcPr>
            <w:tcW w:w="1124" w:type="dxa"/>
            <w:vMerge w:val="restart"/>
          </w:tcPr>
          <w:p w:rsidR="000F4E4C" w:rsidRDefault="000F4E4C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Default="00055E31" w:rsidP="00C05672">
            <w:pPr>
              <w:jc w:val="center"/>
              <w:rPr>
                <w:sz w:val="20"/>
                <w:szCs w:val="20"/>
              </w:rPr>
            </w:pPr>
          </w:p>
          <w:p w:rsidR="00055E31" w:rsidRPr="00AF1670" w:rsidRDefault="00055E31" w:rsidP="00C05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82CD5">
              <w:rPr>
                <w:sz w:val="20"/>
                <w:szCs w:val="20"/>
              </w:rPr>
              <w:t>3</w:t>
            </w:r>
          </w:p>
        </w:tc>
      </w:tr>
      <w:tr w:rsidR="000E71C2" w:rsidTr="000F4E4C">
        <w:trPr>
          <w:trHeight w:val="240"/>
        </w:trPr>
        <w:tc>
          <w:tcPr>
            <w:tcW w:w="787" w:type="dxa"/>
            <w:vMerge/>
          </w:tcPr>
          <w:p w:rsidR="000F4E4C" w:rsidRPr="00AF1670" w:rsidRDefault="000F4E4C" w:rsidP="009E0383">
            <w:pPr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0F4E4C" w:rsidRDefault="000F4E4C" w:rsidP="009E0383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:rsidR="000F4E4C" w:rsidRPr="009D6BFF" w:rsidRDefault="003947D4" w:rsidP="000F4E4C">
            <w:pPr>
              <w:jc w:val="right"/>
              <w:rPr>
                <w:b/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Kopā:</w:t>
            </w:r>
          </w:p>
        </w:tc>
        <w:tc>
          <w:tcPr>
            <w:tcW w:w="891" w:type="dxa"/>
          </w:tcPr>
          <w:p w:rsidR="000F4E4C" w:rsidRPr="003947D4" w:rsidRDefault="003947D4" w:rsidP="009E0383">
            <w:pPr>
              <w:jc w:val="center"/>
              <w:rPr>
                <w:b/>
                <w:i/>
                <w:sz w:val="20"/>
                <w:szCs w:val="20"/>
              </w:rPr>
            </w:pPr>
            <w:r w:rsidRPr="003947D4">
              <w:rPr>
                <w:b/>
                <w:i/>
                <w:sz w:val="20"/>
                <w:szCs w:val="20"/>
              </w:rPr>
              <w:t>kompl.</w:t>
            </w:r>
          </w:p>
        </w:tc>
        <w:tc>
          <w:tcPr>
            <w:tcW w:w="1246" w:type="dxa"/>
          </w:tcPr>
          <w:p w:rsidR="000F4E4C" w:rsidRPr="000F4E4C" w:rsidRDefault="003947D4" w:rsidP="009E038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61" w:type="dxa"/>
          </w:tcPr>
          <w:p w:rsidR="000F4E4C" w:rsidRPr="000E71C2" w:rsidRDefault="0082644F" w:rsidP="009E038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159</w:t>
            </w:r>
            <w:r w:rsidR="00CD6A11">
              <w:rPr>
                <w:b/>
                <w:i/>
                <w:sz w:val="20"/>
                <w:szCs w:val="20"/>
              </w:rPr>
              <w:t xml:space="preserve"> 8</w:t>
            </w:r>
            <w:r w:rsidR="004D3F4A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124" w:type="dxa"/>
          </w:tcPr>
          <w:p w:rsidR="000F4E4C" w:rsidRPr="000E71C2" w:rsidRDefault="0082644F" w:rsidP="009E038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159</w:t>
            </w:r>
            <w:r w:rsidR="00CD6A11">
              <w:rPr>
                <w:b/>
                <w:i/>
                <w:sz w:val="20"/>
                <w:szCs w:val="20"/>
              </w:rPr>
              <w:t xml:space="preserve"> 8</w:t>
            </w:r>
            <w:r w:rsidR="004D3F4A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124" w:type="dxa"/>
            <w:vMerge/>
          </w:tcPr>
          <w:p w:rsidR="000F4E4C" w:rsidRPr="00AF1670" w:rsidRDefault="000F4E4C" w:rsidP="00C05672">
            <w:pPr>
              <w:jc w:val="center"/>
              <w:rPr>
                <w:sz w:val="20"/>
                <w:szCs w:val="20"/>
              </w:rPr>
            </w:pPr>
          </w:p>
        </w:tc>
      </w:tr>
      <w:tr w:rsidR="000E71C2">
        <w:trPr>
          <w:trHeight w:val="2011"/>
        </w:trPr>
        <w:tc>
          <w:tcPr>
            <w:tcW w:w="787" w:type="dxa"/>
            <w:vMerge w:val="restart"/>
          </w:tcPr>
          <w:p w:rsidR="009E0383" w:rsidRPr="00AF1670" w:rsidRDefault="009E0383" w:rsidP="009E0383">
            <w:pPr>
              <w:rPr>
                <w:b/>
                <w:sz w:val="20"/>
                <w:szCs w:val="20"/>
              </w:rPr>
            </w:pPr>
            <w:r w:rsidRPr="00AF1670">
              <w:rPr>
                <w:b/>
                <w:sz w:val="20"/>
                <w:szCs w:val="20"/>
              </w:rPr>
              <w:t>K</w:t>
            </w:r>
            <w:r w:rsidR="004D3F4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89" w:type="dxa"/>
            <w:vMerge w:val="restart"/>
          </w:tcPr>
          <w:p w:rsidR="009E0383" w:rsidRPr="00AF1670" w:rsidRDefault="004D3F4A" w:rsidP="004D3F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Jaunu kanalizācijas tīklu izbūve </w:t>
            </w:r>
          </w:p>
        </w:tc>
        <w:tc>
          <w:tcPr>
            <w:tcW w:w="1615" w:type="dxa"/>
          </w:tcPr>
          <w:p w:rsidR="009E0383" w:rsidRDefault="004D3F4A" w:rsidP="009E03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Jaunu tīklu un KSS izbūve</w:t>
            </w:r>
          </w:p>
          <w:p w:rsidR="004D3F4A" w:rsidRDefault="004D3F4A" w:rsidP="009E0383">
            <w:pPr>
              <w:rPr>
                <w:b/>
                <w:sz w:val="20"/>
                <w:szCs w:val="20"/>
              </w:rPr>
            </w:pPr>
          </w:p>
          <w:p w:rsidR="004D3F4A" w:rsidRDefault="004D3F4A" w:rsidP="004D3F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Pašteces cauruļvadi DN200, DN160</w:t>
            </w:r>
          </w:p>
          <w:p w:rsidR="004D3F4A" w:rsidRPr="004D3F4A" w:rsidRDefault="004D3F4A" w:rsidP="009E0383">
            <w:pPr>
              <w:rPr>
                <w:sz w:val="20"/>
                <w:szCs w:val="20"/>
              </w:rPr>
            </w:pPr>
          </w:p>
          <w:p w:rsidR="004C0D68" w:rsidRDefault="004D3F4A" w:rsidP="009E0383">
            <w:pPr>
              <w:rPr>
                <w:sz w:val="20"/>
                <w:szCs w:val="20"/>
              </w:rPr>
            </w:pPr>
            <w:r w:rsidRPr="004D3F4A">
              <w:rPr>
                <w:sz w:val="20"/>
                <w:szCs w:val="20"/>
              </w:rPr>
              <w:t>Spiedvadi DN110</w:t>
            </w:r>
          </w:p>
          <w:p w:rsidR="004D3F4A" w:rsidRDefault="004D3F4A" w:rsidP="009E0383">
            <w:pPr>
              <w:rPr>
                <w:sz w:val="20"/>
                <w:szCs w:val="20"/>
              </w:rPr>
            </w:pPr>
          </w:p>
          <w:p w:rsidR="004D3F4A" w:rsidRDefault="004D3F4A" w:rsidP="004D3F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741F91">
              <w:rPr>
                <w:sz w:val="20"/>
                <w:szCs w:val="20"/>
              </w:rPr>
              <w:t>eme</w:t>
            </w:r>
            <w:r>
              <w:rPr>
                <w:sz w:val="20"/>
                <w:szCs w:val="20"/>
              </w:rPr>
              <w:t>s darbi un transporta izdevumi, grunts, zālāja seguma atjaunošana</w:t>
            </w:r>
          </w:p>
          <w:p w:rsidR="004D3F4A" w:rsidRPr="004D3F4A" w:rsidRDefault="004D3F4A" w:rsidP="009E0383">
            <w:pPr>
              <w:rPr>
                <w:sz w:val="20"/>
                <w:szCs w:val="20"/>
              </w:rPr>
            </w:pPr>
          </w:p>
          <w:p w:rsidR="004D3F4A" w:rsidRPr="004D3F4A" w:rsidRDefault="004D3F4A" w:rsidP="009E0383">
            <w:pPr>
              <w:rPr>
                <w:b/>
                <w:sz w:val="20"/>
                <w:szCs w:val="20"/>
              </w:rPr>
            </w:pPr>
            <w:r w:rsidRPr="004D3F4A">
              <w:rPr>
                <w:b/>
                <w:sz w:val="20"/>
                <w:szCs w:val="20"/>
              </w:rPr>
              <w:t>Jaunas KSS izbūve:</w:t>
            </w:r>
          </w:p>
          <w:p w:rsidR="00671901" w:rsidRDefault="00671901" w:rsidP="004D3F4A">
            <w:pPr>
              <w:rPr>
                <w:sz w:val="20"/>
                <w:szCs w:val="20"/>
              </w:rPr>
            </w:pPr>
          </w:p>
          <w:p w:rsidR="00066425" w:rsidRDefault="00066425" w:rsidP="00066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Rūpnieciski ražota plastmasas aka Ø1500</w:t>
            </w:r>
          </w:p>
          <w:p w:rsidR="00066425" w:rsidRDefault="00066425" w:rsidP="00066425">
            <w:pPr>
              <w:rPr>
                <w:sz w:val="20"/>
                <w:szCs w:val="20"/>
              </w:rPr>
            </w:pPr>
          </w:p>
          <w:p w:rsidR="00066425" w:rsidRDefault="00066425" w:rsidP="00066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Notekūdeņu sūknis (komplektā ar rezerves sūkni)</w:t>
            </w:r>
          </w:p>
          <w:p w:rsidR="00066425" w:rsidRDefault="00066425" w:rsidP="00066425">
            <w:pPr>
              <w:rPr>
                <w:sz w:val="20"/>
                <w:szCs w:val="20"/>
              </w:rPr>
            </w:pPr>
          </w:p>
          <w:p w:rsidR="00066425" w:rsidRPr="004C0D68" w:rsidRDefault="00066425" w:rsidP="00066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Vadības automātika</w:t>
            </w:r>
          </w:p>
        </w:tc>
        <w:tc>
          <w:tcPr>
            <w:tcW w:w="891" w:type="dxa"/>
          </w:tcPr>
          <w:p w:rsidR="009E0383" w:rsidRPr="00AF1670" w:rsidRDefault="009E0383" w:rsidP="009E0383">
            <w:pPr>
              <w:jc w:val="center"/>
              <w:rPr>
                <w:sz w:val="20"/>
                <w:szCs w:val="20"/>
              </w:rPr>
            </w:pPr>
          </w:p>
          <w:p w:rsidR="009E0383" w:rsidRPr="00AF1670" w:rsidRDefault="009E0383" w:rsidP="009E0383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9E0383">
            <w:pPr>
              <w:jc w:val="center"/>
              <w:rPr>
                <w:sz w:val="20"/>
                <w:szCs w:val="20"/>
              </w:rPr>
            </w:pPr>
          </w:p>
          <w:p w:rsidR="00F37D7F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F37D7F" w:rsidRDefault="00F37D7F" w:rsidP="009E0383">
            <w:pPr>
              <w:jc w:val="center"/>
              <w:rPr>
                <w:sz w:val="20"/>
                <w:szCs w:val="20"/>
              </w:rPr>
            </w:pPr>
          </w:p>
          <w:p w:rsidR="00671901" w:rsidRDefault="00671901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Pr="00AF1670" w:rsidRDefault="00066425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kompl.</w:t>
            </w:r>
          </w:p>
        </w:tc>
        <w:tc>
          <w:tcPr>
            <w:tcW w:w="1246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Default="009E0383" w:rsidP="009E0383">
            <w:pPr>
              <w:jc w:val="center"/>
              <w:rPr>
                <w:sz w:val="20"/>
                <w:szCs w:val="20"/>
              </w:rPr>
            </w:pPr>
          </w:p>
          <w:p w:rsidR="009E0383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2 56</w:t>
            </w:r>
          </w:p>
          <w:p w:rsidR="00F37D7F" w:rsidRDefault="00F37D7F" w:rsidP="009E0383">
            <w:pPr>
              <w:jc w:val="center"/>
              <w:rPr>
                <w:sz w:val="20"/>
                <w:szCs w:val="20"/>
              </w:rPr>
            </w:pPr>
          </w:p>
          <w:p w:rsidR="00671901" w:rsidRDefault="00671901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</w:t>
            </w: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066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066425" w:rsidRDefault="00066425" w:rsidP="00066425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066425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066425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066425">
            <w:pPr>
              <w:jc w:val="center"/>
              <w:rPr>
                <w:sz w:val="20"/>
                <w:szCs w:val="20"/>
              </w:rPr>
            </w:pPr>
          </w:p>
          <w:p w:rsidR="00066425" w:rsidRPr="00AF1670" w:rsidRDefault="00066425" w:rsidP="00066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1" w:type="dxa"/>
          </w:tcPr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Pr="00AF1670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F37D7F" w:rsidRDefault="00F37D7F" w:rsidP="009E0383">
            <w:pPr>
              <w:jc w:val="center"/>
              <w:rPr>
                <w:sz w:val="20"/>
                <w:szCs w:val="20"/>
              </w:rPr>
            </w:pPr>
          </w:p>
          <w:p w:rsidR="00671901" w:rsidRDefault="00671901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41178B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Pr="00AF1670" w:rsidRDefault="00066425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  <w:tc>
          <w:tcPr>
            <w:tcW w:w="1124" w:type="dxa"/>
          </w:tcPr>
          <w:p w:rsidR="009E0383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Default="009E0383" w:rsidP="009E0383">
            <w:pPr>
              <w:jc w:val="center"/>
              <w:rPr>
                <w:b/>
                <w:sz w:val="20"/>
                <w:szCs w:val="20"/>
              </w:rPr>
            </w:pPr>
          </w:p>
          <w:p w:rsidR="009E0383" w:rsidRDefault="009E0383" w:rsidP="009E0383">
            <w:pPr>
              <w:jc w:val="center"/>
              <w:rPr>
                <w:sz w:val="20"/>
                <w:szCs w:val="20"/>
              </w:rPr>
            </w:pPr>
          </w:p>
          <w:p w:rsidR="009E0383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3 840</w:t>
            </w:r>
          </w:p>
          <w:p w:rsidR="00F37D7F" w:rsidRDefault="00F37D7F" w:rsidP="009E0383">
            <w:pPr>
              <w:jc w:val="center"/>
              <w:rPr>
                <w:sz w:val="20"/>
                <w:szCs w:val="20"/>
              </w:rPr>
            </w:pPr>
          </w:p>
          <w:p w:rsidR="00671901" w:rsidRDefault="00671901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3 780</w:t>
            </w: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</w:p>
          <w:p w:rsidR="004D3F4A" w:rsidRDefault="004D3F4A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06642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040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41178B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66425">
              <w:rPr>
                <w:sz w:val="20"/>
                <w:szCs w:val="20"/>
              </w:rPr>
              <w:t> 600</w:t>
            </w: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Default="00066425" w:rsidP="009E0383">
            <w:pPr>
              <w:jc w:val="center"/>
              <w:rPr>
                <w:sz w:val="20"/>
                <w:szCs w:val="20"/>
              </w:rPr>
            </w:pPr>
          </w:p>
          <w:p w:rsidR="00066425" w:rsidRPr="00AF1670" w:rsidRDefault="00066425" w:rsidP="009E0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  <w:tc>
          <w:tcPr>
            <w:tcW w:w="1124" w:type="dxa"/>
            <w:vMerge w:val="restart"/>
          </w:tcPr>
          <w:p w:rsidR="009E0383" w:rsidRPr="00AF1670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Pr="00AF1670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Pr="00AF1670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9E0383" w:rsidRDefault="009E0383" w:rsidP="00C05672">
            <w:pPr>
              <w:jc w:val="center"/>
              <w:rPr>
                <w:sz w:val="20"/>
                <w:szCs w:val="20"/>
              </w:rPr>
            </w:pPr>
          </w:p>
          <w:p w:rsidR="00C05672" w:rsidRDefault="00C05672" w:rsidP="00C05672">
            <w:pPr>
              <w:jc w:val="center"/>
              <w:rPr>
                <w:sz w:val="20"/>
                <w:szCs w:val="20"/>
              </w:rPr>
            </w:pPr>
          </w:p>
          <w:p w:rsidR="00C05672" w:rsidRDefault="00C05672" w:rsidP="00C05672">
            <w:pPr>
              <w:jc w:val="center"/>
              <w:rPr>
                <w:sz w:val="20"/>
                <w:szCs w:val="20"/>
              </w:rPr>
            </w:pPr>
          </w:p>
          <w:p w:rsidR="009E0383" w:rsidRPr="00AF1670" w:rsidRDefault="00C05672" w:rsidP="00C05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E0383">
              <w:rPr>
                <w:sz w:val="20"/>
                <w:szCs w:val="20"/>
              </w:rPr>
              <w:t>01</w:t>
            </w:r>
            <w:r w:rsidR="00F82CD5">
              <w:rPr>
                <w:sz w:val="20"/>
                <w:szCs w:val="20"/>
              </w:rPr>
              <w:t>3</w:t>
            </w:r>
          </w:p>
        </w:tc>
      </w:tr>
      <w:tr w:rsidR="000E71C2">
        <w:trPr>
          <w:trHeight w:val="119"/>
        </w:trPr>
        <w:tc>
          <w:tcPr>
            <w:tcW w:w="787" w:type="dxa"/>
            <w:vMerge/>
          </w:tcPr>
          <w:p w:rsidR="009E0383" w:rsidRPr="00AF1670" w:rsidRDefault="009E0383" w:rsidP="009E0383">
            <w:pPr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9E0383" w:rsidRPr="00AF1670" w:rsidRDefault="009E0383" w:rsidP="009E0383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:rsidR="009E0383" w:rsidRPr="00E76302" w:rsidRDefault="009E0383" w:rsidP="009E0383">
            <w:pPr>
              <w:jc w:val="right"/>
              <w:rPr>
                <w:b/>
                <w:i/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Kopā:</w:t>
            </w:r>
          </w:p>
        </w:tc>
        <w:tc>
          <w:tcPr>
            <w:tcW w:w="891" w:type="dxa"/>
          </w:tcPr>
          <w:p w:rsidR="009E0383" w:rsidRPr="00E76302" w:rsidRDefault="009E0383" w:rsidP="009E0383">
            <w:pPr>
              <w:jc w:val="center"/>
              <w:rPr>
                <w:b/>
                <w:i/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kompl.</w:t>
            </w:r>
          </w:p>
        </w:tc>
        <w:tc>
          <w:tcPr>
            <w:tcW w:w="1246" w:type="dxa"/>
          </w:tcPr>
          <w:p w:rsidR="009E0383" w:rsidRPr="00E76302" w:rsidRDefault="009E0383" w:rsidP="009E0383">
            <w:pPr>
              <w:jc w:val="center"/>
              <w:rPr>
                <w:b/>
                <w:i/>
                <w:sz w:val="20"/>
                <w:szCs w:val="20"/>
              </w:rPr>
            </w:pPr>
            <w:r w:rsidRPr="00E76302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061" w:type="dxa"/>
          </w:tcPr>
          <w:p w:rsidR="009E0383" w:rsidRPr="00E76302" w:rsidRDefault="0041178B" w:rsidP="009E038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58</w:t>
            </w:r>
            <w:r w:rsidR="00066425">
              <w:rPr>
                <w:b/>
                <w:i/>
                <w:sz w:val="20"/>
                <w:szCs w:val="20"/>
              </w:rPr>
              <w:t xml:space="preserve"> 260</w:t>
            </w:r>
          </w:p>
        </w:tc>
        <w:tc>
          <w:tcPr>
            <w:tcW w:w="1124" w:type="dxa"/>
          </w:tcPr>
          <w:p w:rsidR="009E0383" w:rsidRPr="00E76302" w:rsidRDefault="0041178B" w:rsidP="009E038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58</w:t>
            </w:r>
            <w:r w:rsidR="00066425">
              <w:rPr>
                <w:b/>
                <w:i/>
                <w:sz w:val="20"/>
                <w:szCs w:val="20"/>
              </w:rPr>
              <w:t xml:space="preserve"> 260</w:t>
            </w:r>
          </w:p>
        </w:tc>
        <w:tc>
          <w:tcPr>
            <w:tcW w:w="1124" w:type="dxa"/>
            <w:vMerge/>
          </w:tcPr>
          <w:p w:rsidR="009E0383" w:rsidRPr="00AF1670" w:rsidRDefault="009E0383" w:rsidP="00C056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45971" w:rsidRDefault="00345971" w:rsidP="00462DB3">
      <w:pPr>
        <w:rPr>
          <w:b/>
          <w:bCs/>
        </w:rPr>
      </w:pPr>
    </w:p>
    <w:p w:rsidR="00ED5F31" w:rsidRDefault="00ED5F31" w:rsidP="00462DB3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Būves izmaksu paskaidrojuma raksts.</w:t>
      </w:r>
    </w:p>
    <w:p w:rsidR="00ED5F31" w:rsidRDefault="00ED5F31" w:rsidP="00345971">
      <w:pPr>
        <w:rPr>
          <w:sz w:val="22"/>
          <w:szCs w:val="22"/>
        </w:rPr>
      </w:pPr>
      <w:r>
        <w:rPr>
          <w:sz w:val="22"/>
          <w:szCs w:val="22"/>
        </w:rPr>
        <w:t>Būves izmaksu aprēķins veikts pēc v</w:t>
      </w:r>
      <w:r w:rsidR="00F95466">
        <w:rPr>
          <w:sz w:val="22"/>
          <w:szCs w:val="22"/>
        </w:rPr>
        <w:t>idējām būvniecības izmaksām 2011</w:t>
      </w:r>
      <w:r>
        <w:rPr>
          <w:sz w:val="22"/>
          <w:szCs w:val="22"/>
        </w:rPr>
        <w:t xml:space="preserve">. gadā. Iekārtu un materiālu aprēķini veikti pēc sertificētu firmu piedāvātajām cenām. Teritorijas sakopšanas darbu izmaksu aprēķini veikti pēc pakalpojumu firmu piedāvātajām cenām. </w:t>
      </w:r>
    </w:p>
    <w:p w:rsidR="00345971" w:rsidRDefault="00345971" w:rsidP="00345971">
      <w:pPr>
        <w:rPr>
          <w:sz w:val="22"/>
          <w:szCs w:val="22"/>
        </w:rPr>
      </w:pPr>
    </w:p>
    <w:p w:rsidR="002F4588" w:rsidRPr="00E66584" w:rsidRDefault="00ED5F31" w:rsidP="00651DD3">
      <w:pPr>
        <w:rPr>
          <w:b/>
          <w:bCs/>
        </w:rPr>
      </w:pPr>
      <w:r>
        <w:rPr>
          <w:sz w:val="22"/>
          <w:szCs w:val="22"/>
        </w:rPr>
        <w:t>Darbu veikšanai Iepirkuma komisija veiks cenu aptauju, kā rezultātā tiks noteikta būvniecības, iekārtu un apkā</w:t>
      </w:r>
      <w:r w:rsidR="00462DB3">
        <w:rPr>
          <w:sz w:val="22"/>
          <w:szCs w:val="22"/>
        </w:rPr>
        <w:t>rtnes iekopšanas darbu izmaksa.</w:t>
      </w:r>
    </w:p>
    <w:sectPr w:rsidR="002F4588" w:rsidRPr="00E66584" w:rsidSect="009E0383">
      <w:headerReference w:type="default" r:id="rId7"/>
      <w:pgSz w:w="11906" w:h="16838"/>
      <w:pgMar w:top="851" w:right="1797" w:bottom="851" w:left="1797" w:header="73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E97" w:rsidRDefault="005E4E97" w:rsidP="005C0EF8">
      <w:r>
        <w:separator/>
      </w:r>
    </w:p>
  </w:endnote>
  <w:endnote w:type="continuationSeparator" w:id="1">
    <w:p w:rsidR="005E4E97" w:rsidRDefault="005E4E97" w:rsidP="005C0E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E97" w:rsidRDefault="005E4E97" w:rsidP="005C0EF8">
      <w:r>
        <w:separator/>
      </w:r>
    </w:p>
  </w:footnote>
  <w:footnote w:type="continuationSeparator" w:id="1">
    <w:p w:rsidR="005E4E97" w:rsidRDefault="005E4E97" w:rsidP="005C0E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83" w:rsidRDefault="009E0383">
    <w:pPr>
      <w:pStyle w:val="Header"/>
    </w:pPr>
    <w:r>
      <w:t>Prioritārā investīciju projekta komponenšu detalizēts aprēķins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2192E"/>
    <w:multiLevelType w:val="multilevel"/>
    <w:tmpl w:val="015C9F64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38"/>
        </w:tabs>
        <w:ind w:left="103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416"/>
    <w:rsid w:val="00012A64"/>
    <w:rsid w:val="00022C1F"/>
    <w:rsid w:val="00024CB0"/>
    <w:rsid w:val="0004727A"/>
    <w:rsid w:val="000554A1"/>
    <w:rsid w:val="00055E31"/>
    <w:rsid w:val="00066425"/>
    <w:rsid w:val="00080368"/>
    <w:rsid w:val="00085040"/>
    <w:rsid w:val="000919F4"/>
    <w:rsid w:val="00096FAF"/>
    <w:rsid w:val="000A378E"/>
    <w:rsid w:val="000B2CB2"/>
    <w:rsid w:val="000D0837"/>
    <w:rsid w:val="000E6429"/>
    <w:rsid w:val="000E6F03"/>
    <w:rsid w:val="000E71C2"/>
    <w:rsid w:val="000F07FC"/>
    <w:rsid w:val="000F4E4C"/>
    <w:rsid w:val="001005B2"/>
    <w:rsid w:val="00106706"/>
    <w:rsid w:val="00130BF4"/>
    <w:rsid w:val="001324CE"/>
    <w:rsid w:val="00132688"/>
    <w:rsid w:val="001330E9"/>
    <w:rsid w:val="00137600"/>
    <w:rsid w:val="00137A0F"/>
    <w:rsid w:val="0014455B"/>
    <w:rsid w:val="00152764"/>
    <w:rsid w:val="00161416"/>
    <w:rsid w:val="00171EAE"/>
    <w:rsid w:val="00176055"/>
    <w:rsid w:val="0018191E"/>
    <w:rsid w:val="001828D1"/>
    <w:rsid w:val="001B6813"/>
    <w:rsid w:val="001D2E34"/>
    <w:rsid w:val="001D5566"/>
    <w:rsid w:val="001F1D58"/>
    <w:rsid w:val="00213AB0"/>
    <w:rsid w:val="0022374B"/>
    <w:rsid w:val="00226CFB"/>
    <w:rsid w:val="00232B7F"/>
    <w:rsid w:val="00253562"/>
    <w:rsid w:val="00261E9A"/>
    <w:rsid w:val="002746AD"/>
    <w:rsid w:val="00276A5D"/>
    <w:rsid w:val="00286B45"/>
    <w:rsid w:val="00291480"/>
    <w:rsid w:val="002A66F2"/>
    <w:rsid w:val="002B287B"/>
    <w:rsid w:val="002C17A3"/>
    <w:rsid w:val="002C3497"/>
    <w:rsid w:val="002D0522"/>
    <w:rsid w:val="002D376F"/>
    <w:rsid w:val="002E33B5"/>
    <w:rsid w:val="002E61BA"/>
    <w:rsid w:val="002F4588"/>
    <w:rsid w:val="00320DFF"/>
    <w:rsid w:val="00331307"/>
    <w:rsid w:val="003450E7"/>
    <w:rsid w:val="00345971"/>
    <w:rsid w:val="003474D2"/>
    <w:rsid w:val="00347AB2"/>
    <w:rsid w:val="0037093D"/>
    <w:rsid w:val="00376F11"/>
    <w:rsid w:val="00385B2C"/>
    <w:rsid w:val="003947D4"/>
    <w:rsid w:val="003A3813"/>
    <w:rsid w:val="003B22F4"/>
    <w:rsid w:val="003B4377"/>
    <w:rsid w:val="003C2F1C"/>
    <w:rsid w:val="003C610E"/>
    <w:rsid w:val="003D1BC9"/>
    <w:rsid w:val="003E1B04"/>
    <w:rsid w:val="003E3E2A"/>
    <w:rsid w:val="003F671F"/>
    <w:rsid w:val="0041178B"/>
    <w:rsid w:val="00420AFE"/>
    <w:rsid w:val="0042701F"/>
    <w:rsid w:val="0043117A"/>
    <w:rsid w:val="004328DB"/>
    <w:rsid w:val="004418BB"/>
    <w:rsid w:val="00442ABD"/>
    <w:rsid w:val="00442ED0"/>
    <w:rsid w:val="00445097"/>
    <w:rsid w:val="004611D2"/>
    <w:rsid w:val="00462DB3"/>
    <w:rsid w:val="004644DA"/>
    <w:rsid w:val="00466E82"/>
    <w:rsid w:val="00474A56"/>
    <w:rsid w:val="0048645E"/>
    <w:rsid w:val="00487946"/>
    <w:rsid w:val="004930B7"/>
    <w:rsid w:val="00494F01"/>
    <w:rsid w:val="00497813"/>
    <w:rsid w:val="004C0D68"/>
    <w:rsid w:val="004D3F4A"/>
    <w:rsid w:val="004D5B5C"/>
    <w:rsid w:val="004F729E"/>
    <w:rsid w:val="00521019"/>
    <w:rsid w:val="00522A39"/>
    <w:rsid w:val="00555104"/>
    <w:rsid w:val="005610E8"/>
    <w:rsid w:val="00592D6E"/>
    <w:rsid w:val="00597DD2"/>
    <w:rsid w:val="005C0EF8"/>
    <w:rsid w:val="005C1088"/>
    <w:rsid w:val="005C451A"/>
    <w:rsid w:val="005E1B52"/>
    <w:rsid w:val="005E29EB"/>
    <w:rsid w:val="005E4E97"/>
    <w:rsid w:val="006032C4"/>
    <w:rsid w:val="0062200B"/>
    <w:rsid w:val="006259F1"/>
    <w:rsid w:val="00642A0C"/>
    <w:rsid w:val="00651DD3"/>
    <w:rsid w:val="00652E02"/>
    <w:rsid w:val="00662811"/>
    <w:rsid w:val="00664B35"/>
    <w:rsid w:val="00671901"/>
    <w:rsid w:val="00677223"/>
    <w:rsid w:val="0068172E"/>
    <w:rsid w:val="00682B35"/>
    <w:rsid w:val="006856BC"/>
    <w:rsid w:val="00694939"/>
    <w:rsid w:val="0069641A"/>
    <w:rsid w:val="006B0194"/>
    <w:rsid w:val="006B1CFC"/>
    <w:rsid w:val="006B52AA"/>
    <w:rsid w:val="006C554A"/>
    <w:rsid w:val="006E423F"/>
    <w:rsid w:val="006F51D7"/>
    <w:rsid w:val="00704DC4"/>
    <w:rsid w:val="0070594D"/>
    <w:rsid w:val="00716AEB"/>
    <w:rsid w:val="00724A41"/>
    <w:rsid w:val="0073020D"/>
    <w:rsid w:val="00731525"/>
    <w:rsid w:val="0073345B"/>
    <w:rsid w:val="00737C86"/>
    <w:rsid w:val="00737E0E"/>
    <w:rsid w:val="00741F91"/>
    <w:rsid w:val="0075401F"/>
    <w:rsid w:val="00761D3B"/>
    <w:rsid w:val="007634D8"/>
    <w:rsid w:val="00776AFA"/>
    <w:rsid w:val="00783FAD"/>
    <w:rsid w:val="007852DB"/>
    <w:rsid w:val="00793A0D"/>
    <w:rsid w:val="007C6224"/>
    <w:rsid w:val="007D2644"/>
    <w:rsid w:val="007D46F1"/>
    <w:rsid w:val="007F2CAC"/>
    <w:rsid w:val="007F3882"/>
    <w:rsid w:val="007F397B"/>
    <w:rsid w:val="007F5303"/>
    <w:rsid w:val="008113E1"/>
    <w:rsid w:val="00812459"/>
    <w:rsid w:val="0082644F"/>
    <w:rsid w:val="0085583B"/>
    <w:rsid w:val="00865AFA"/>
    <w:rsid w:val="00874BAC"/>
    <w:rsid w:val="0088079D"/>
    <w:rsid w:val="008C2533"/>
    <w:rsid w:val="008D1241"/>
    <w:rsid w:val="008D2403"/>
    <w:rsid w:val="00910C4C"/>
    <w:rsid w:val="00924C6F"/>
    <w:rsid w:val="009321F4"/>
    <w:rsid w:val="00947232"/>
    <w:rsid w:val="009537E0"/>
    <w:rsid w:val="009609A5"/>
    <w:rsid w:val="0098134F"/>
    <w:rsid w:val="009A4B2F"/>
    <w:rsid w:val="009B19FB"/>
    <w:rsid w:val="009B6532"/>
    <w:rsid w:val="009B701F"/>
    <w:rsid w:val="009D6BFF"/>
    <w:rsid w:val="009E0383"/>
    <w:rsid w:val="009F5634"/>
    <w:rsid w:val="00A07230"/>
    <w:rsid w:val="00A075C3"/>
    <w:rsid w:val="00A12793"/>
    <w:rsid w:val="00A229F9"/>
    <w:rsid w:val="00A26544"/>
    <w:rsid w:val="00A47C34"/>
    <w:rsid w:val="00A86EFB"/>
    <w:rsid w:val="00A87A0F"/>
    <w:rsid w:val="00A96FCE"/>
    <w:rsid w:val="00AB2EF4"/>
    <w:rsid w:val="00AE14F5"/>
    <w:rsid w:val="00B04115"/>
    <w:rsid w:val="00B06E59"/>
    <w:rsid w:val="00B10E54"/>
    <w:rsid w:val="00B158BE"/>
    <w:rsid w:val="00B16FB4"/>
    <w:rsid w:val="00B3041F"/>
    <w:rsid w:val="00B33FD5"/>
    <w:rsid w:val="00B4007F"/>
    <w:rsid w:val="00B45865"/>
    <w:rsid w:val="00B503CD"/>
    <w:rsid w:val="00B97B80"/>
    <w:rsid w:val="00BC6742"/>
    <w:rsid w:val="00BD3A45"/>
    <w:rsid w:val="00BD5996"/>
    <w:rsid w:val="00C00388"/>
    <w:rsid w:val="00C05672"/>
    <w:rsid w:val="00C05684"/>
    <w:rsid w:val="00C240E4"/>
    <w:rsid w:val="00C43892"/>
    <w:rsid w:val="00C557DB"/>
    <w:rsid w:val="00C66923"/>
    <w:rsid w:val="00C6719C"/>
    <w:rsid w:val="00C87CA1"/>
    <w:rsid w:val="00CD6A11"/>
    <w:rsid w:val="00CD7FB4"/>
    <w:rsid w:val="00D076E0"/>
    <w:rsid w:val="00D111BB"/>
    <w:rsid w:val="00D11FE4"/>
    <w:rsid w:val="00D13DDA"/>
    <w:rsid w:val="00D43D35"/>
    <w:rsid w:val="00D474FF"/>
    <w:rsid w:val="00D5120B"/>
    <w:rsid w:val="00D547D3"/>
    <w:rsid w:val="00D673B3"/>
    <w:rsid w:val="00D7025F"/>
    <w:rsid w:val="00D728D3"/>
    <w:rsid w:val="00D82BEB"/>
    <w:rsid w:val="00D85EE8"/>
    <w:rsid w:val="00DC2BDD"/>
    <w:rsid w:val="00DE615A"/>
    <w:rsid w:val="00DF3737"/>
    <w:rsid w:val="00DF4C78"/>
    <w:rsid w:val="00E04D12"/>
    <w:rsid w:val="00E05FF8"/>
    <w:rsid w:val="00E32AA4"/>
    <w:rsid w:val="00E35688"/>
    <w:rsid w:val="00E76302"/>
    <w:rsid w:val="00E80EF1"/>
    <w:rsid w:val="00E90BF8"/>
    <w:rsid w:val="00E912F5"/>
    <w:rsid w:val="00E93496"/>
    <w:rsid w:val="00EC27E5"/>
    <w:rsid w:val="00ED2806"/>
    <w:rsid w:val="00ED5F31"/>
    <w:rsid w:val="00EE20F9"/>
    <w:rsid w:val="00EE288D"/>
    <w:rsid w:val="00F00B48"/>
    <w:rsid w:val="00F37833"/>
    <w:rsid w:val="00F37D7F"/>
    <w:rsid w:val="00F40AF7"/>
    <w:rsid w:val="00F416CB"/>
    <w:rsid w:val="00F4450E"/>
    <w:rsid w:val="00F4712B"/>
    <w:rsid w:val="00F55268"/>
    <w:rsid w:val="00F71E92"/>
    <w:rsid w:val="00F774AB"/>
    <w:rsid w:val="00F81BE8"/>
    <w:rsid w:val="00F81F4F"/>
    <w:rsid w:val="00F82CD5"/>
    <w:rsid w:val="00F95466"/>
    <w:rsid w:val="00FA2C6F"/>
    <w:rsid w:val="00FB282E"/>
    <w:rsid w:val="00FC0A65"/>
    <w:rsid w:val="00FC1102"/>
    <w:rsid w:val="00FC4969"/>
    <w:rsid w:val="00FC7DE1"/>
    <w:rsid w:val="00FD1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41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4712B"/>
    <w:pPr>
      <w:keepNext/>
      <w:numPr>
        <w:numId w:val="27"/>
      </w:numPr>
      <w:tabs>
        <w:tab w:val="left" w:pos="4320"/>
      </w:tabs>
      <w:outlineLvl w:val="0"/>
    </w:pPr>
    <w:rPr>
      <w:rFonts w:eastAsiaTheme="majorEastAsia" w:cstheme="majorBidi"/>
      <w:b/>
      <w:bCs/>
      <w:sz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F4712B"/>
    <w:pPr>
      <w:keepNext/>
      <w:numPr>
        <w:ilvl w:val="1"/>
        <w:numId w:val="27"/>
      </w:numPr>
      <w:spacing w:before="120"/>
      <w:outlineLvl w:val="1"/>
    </w:pPr>
    <w:rPr>
      <w:rFonts w:eastAsiaTheme="majorEastAsia" w:cs="Arial"/>
      <w:b/>
      <w:bCs/>
      <w:iCs/>
      <w:sz w:val="32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F4712B"/>
    <w:pPr>
      <w:keepNext/>
      <w:numPr>
        <w:ilvl w:val="2"/>
        <w:numId w:val="27"/>
      </w:numPr>
      <w:spacing w:before="120" w:after="120"/>
      <w:outlineLvl w:val="2"/>
    </w:pPr>
    <w:rPr>
      <w:rFonts w:eastAsiaTheme="majorEastAsia" w:cs="Arial"/>
      <w:b/>
      <w:bCs/>
      <w:sz w:val="28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4712B"/>
    <w:pPr>
      <w:keepNext/>
      <w:numPr>
        <w:ilvl w:val="3"/>
        <w:numId w:val="27"/>
      </w:numPr>
      <w:spacing w:before="240" w:after="60"/>
      <w:outlineLvl w:val="3"/>
    </w:pPr>
    <w:rPr>
      <w:rFonts w:eastAsiaTheme="majorEastAsia" w:cstheme="majorBidi"/>
      <w:b/>
      <w:bCs/>
      <w:i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4712B"/>
    <w:pPr>
      <w:numPr>
        <w:ilvl w:val="4"/>
        <w:numId w:val="27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4712B"/>
    <w:pPr>
      <w:numPr>
        <w:ilvl w:val="5"/>
        <w:numId w:val="27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F4712B"/>
    <w:pPr>
      <w:numPr>
        <w:ilvl w:val="6"/>
        <w:numId w:val="27"/>
      </w:numPr>
      <w:spacing w:before="240" w:after="60"/>
      <w:outlineLvl w:val="6"/>
    </w:pPr>
    <w:rPr>
      <w:rFonts w:eastAsiaTheme="majorEastAsia" w:cstheme="majorBidi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4712B"/>
    <w:pPr>
      <w:numPr>
        <w:ilvl w:val="7"/>
        <w:numId w:val="27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qFormat/>
    <w:rsid w:val="00F4712B"/>
    <w:pPr>
      <w:numPr>
        <w:ilvl w:val="8"/>
        <w:numId w:val="27"/>
      </w:numPr>
      <w:spacing w:before="240" w:after="60"/>
      <w:outlineLvl w:val="8"/>
    </w:pPr>
    <w:rPr>
      <w:rFonts w:ascii="Arial" w:eastAsiaTheme="majorEastAsia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712B"/>
    <w:rPr>
      <w:rFonts w:eastAsiaTheme="majorEastAsia" w:cstheme="majorBidi"/>
      <w:b/>
      <w:bCs/>
      <w:sz w:val="32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F4712B"/>
    <w:rPr>
      <w:rFonts w:eastAsiaTheme="majorEastAsia" w:cs="Arial"/>
      <w:b/>
      <w:bCs/>
      <w:iCs/>
      <w:sz w:val="32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F4712B"/>
    <w:rPr>
      <w:rFonts w:eastAsiaTheme="majorEastAsia" w:cs="Arial"/>
      <w:b/>
      <w:bCs/>
      <w:sz w:val="28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F4712B"/>
    <w:rPr>
      <w:rFonts w:eastAsiaTheme="majorEastAsia" w:cstheme="majorBidi"/>
      <w:b/>
      <w:bCs/>
      <w:i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4712B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4712B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F4712B"/>
    <w:rPr>
      <w:rFonts w:eastAsiaTheme="majorEastAsia" w:cstheme="majorBid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12B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F4712B"/>
    <w:rPr>
      <w:rFonts w:ascii="Arial" w:eastAsiaTheme="majorEastAsia" w:hAnsi="Arial" w:cs="Arial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3E3E2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3E3E2A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3E3E2A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SubtitleChar">
    <w:name w:val="Subtitle Char"/>
    <w:basedOn w:val="DefaultParagraphFont"/>
    <w:link w:val="Subtitle"/>
    <w:rsid w:val="003E3E2A"/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styleId="Strong">
    <w:name w:val="Strong"/>
    <w:basedOn w:val="DefaultParagraphFont"/>
    <w:qFormat/>
    <w:rsid w:val="00F4712B"/>
    <w:rPr>
      <w:b/>
      <w:bCs/>
    </w:rPr>
  </w:style>
  <w:style w:type="character" w:styleId="Emphasis">
    <w:name w:val="Emphasis"/>
    <w:basedOn w:val="DefaultParagraphFont"/>
    <w:qFormat/>
    <w:rsid w:val="00F4712B"/>
    <w:rPr>
      <w:i/>
      <w:iCs/>
    </w:rPr>
  </w:style>
  <w:style w:type="paragraph" w:styleId="NoSpacing">
    <w:name w:val="No Spacing"/>
    <w:link w:val="NoSpacingChar"/>
    <w:qFormat/>
    <w:rsid w:val="00F4712B"/>
    <w:rPr>
      <w:rFonts w:ascii="PMingLiU" w:hAnsi="PMingLiU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F4712B"/>
    <w:pPr>
      <w:ind w:left="720"/>
    </w:pPr>
    <w:rPr>
      <w:sz w:val="22"/>
      <w:szCs w:val="20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E3E2A"/>
    <w:rPr>
      <w:i/>
      <w:iCs/>
      <w:color w:val="000000" w:themeColor="text1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E3E2A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E2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E2A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3E3E2A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E3E2A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3E3E2A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3E3E2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3E3E2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3E2A"/>
    <w:pPr>
      <w:numPr>
        <w:numId w:val="0"/>
      </w:numPr>
      <w:tabs>
        <w:tab w:val="clear" w:pos="4320"/>
      </w:tabs>
      <w:spacing w:before="240" w:after="60"/>
      <w:outlineLvl w:val="9"/>
    </w:pPr>
    <w:rPr>
      <w:rFonts w:asciiTheme="majorHAnsi" w:hAnsiTheme="majorHAnsi"/>
      <w:kern w:val="32"/>
      <w:szCs w:val="32"/>
    </w:rPr>
  </w:style>
  <w:style w:type="paragraph" w:styleId="Caption">
    <w:name w:val="caption"/>
    <w:basedOn w:val="Normal"/>
    <w:next w:val="Normal"/>
    <w:qFormat/>
    <w:rsid w:val="00F4712B"/>
    <w:rPr>
      <w:rFonts w:cs="Arial"/>
      <w:b/>
      <w:bCs/>
      <w:sz w:val="20"/>
      <w:szCs w:val="20"/>
      <w:lang w:eastAsia="en-US"/>
    </w:rPr>
  </w:style>
  <w:style w:type="paragraph" w:styleId="TableofFigures">
    <w:name w:val="table of figures"/>
    <w:basedOn w:val="Normal"/>
    <w:next w:val="Normal"/>
    <w:uiPriority w:val="99"/>
    <w:rsid w:val="009609A5"/>
    <w:rPr>
      <w:sz w:val="22"/>
      <w:lang w:eastAsia="en-US"/>
    </w:rPr>
  </w:style>
  <w:style w:type="character" w:customStyle="1" w:styleId="NoSpacingChar">
    <w:name w:val="No Spacing Char"/>
    <w:basedOn w:val="DefaultParagraphFont"/>
    <w:link w:val="NoSpacing"/>
    <w:rsid w:val="00F4712B"/>
    <w:rPr>
      <w:rFonts w:ascii="PMingLiU" w:hAnsi="PMingLiU"/>
      <w:sz w:val="22"/>
      <w:szCs w:val="22"/>
      <w:lang w:val="en-US" w:eastAsia="en-US" w:bidi="ar-SA"/>
    </w:rPr>
  </w:style>
  <w:style w:type="paragraph" w:customStyle="1" w:styleId="ColorfulList-Accent11">
    <w:name w:val="Colorful List - Accent 11"/>
    <w:basedOn w:val="Normal"/>
    <w:qFormat/>
    <w:rsid w:val="00F4712B"/>
    <w:pPr>
      <w:ind w:left="720"/>
      <w:contextualSpacing/>
    </w:pPr>
  </w:style>
  <w:style w:type="paragraph" w:customStyle="1" w:styleId="naiskr">
    <w:name w:val="naiskr"/>
    <w:basedOn w:val="Normal"/>
    <w:rsid w:val="002F4588"/>
    <w:pPr>
      <w:spacing w:before="75" w:after="75"/>
    </w:pPr>
  </w:style>
  <w:style w:type="paragraph" w:customStyle="1" w:styleId="naisc">
    <w:name w:val="naisc"/>
    <w:basedOn w:val="Normal"/>
    <w:rsid w:val="00555104"/>
    <w:pPr>
      <w:spacing w:before="75" w:after="75"/>
      <w:jc w:val="center"/>
    </w:pPr>
  </w:style>
  <w:style w:type="paragraph" w:customStyle="1" w:styleId="naisf">
    <w:name w:val="naisf"/>
    <w:basedOn w:val="Normal"/>
    <w:rsid w:val="00555104"/>
    <w:pPr>
      <w:spacing w:before="75" w:after="75"/>
      <w:ind w:firstLine="375"/>
      <w:jc w:val="both"/>
    </w:pPr>
  </w:style>
  <w:style w:type="paragraph" w:customStyle="1" w:styleId="naislab">
    <w:name w:val="naislab"/>
    <w:basedOn w:val="Normal"/>
    <w:rsid w:val="00555104"/>
    <w:pPr>
      <w:spacing w:before="75" w:after="75"/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7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3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38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E03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3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</dc:creator>
  <cp:lastModifiedBy>Office</cp:lastModifiedBy>
  <cp:revision>8</cp:revision>
  <cp:lastPrinted>2010-11-29T11:59:00Z</cp:lastPrinted>
  <dcterms:created xsi:type="dcterms:W3CDTF">2011-09-19T12:40:00Z</dcterms:created>
  <dcterms:modified xsi:type="dcterms:W3CDTF">2011-11-07T11:42:00Z</dcterms:modified>
</cp:coreProperties>
</file>